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7D04EF49" w:rsidR="00A46DE7" w:rsidRDefault="0000000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>
        <w:rPr>
          <w:rFonts w:ascii="方正小标宋_GBK" w:eastAsia="方正小标宋_GBK" w:hAnsi="宋体" w:cs="宋体" w:hint="eastAsia"/>
          <w:sz w:val="40"/>
          <w:szCs w:val="30"/>
        </w:rPr>
        <w:t>山东信息职业技术学院奎文校区图书馆阅览自习室起鼓破损地砖</w:t>
      </w:r>
      <w:r w:rsidR="00977429">
        <w:rPr>
          <w:rFonts w:ascii="方正小标宋_GBK" w:eastAsia="方正小标宋_GBK" w:hAnsi="宋体" w:cs="宋体" w:hint="eastAsia"/>
          <w:sz w:val="40"/>
          <w:szCs w:val="30"/>
        </w:rPr>
        <w:t>维修</w:t>
      </w:r>
      <w:r>
        <w:rPr>
          <w:rFonts w:ascii="方正小标宋_GBK" w:eastAsia="方正小标宋_GBK" w:hAnsi="宋体" w:cs="宋体" w:hint="eastAsia"/>
          <w:sz w:val="40"/>
          <w:szCs w:val="30"/>
        </w:rPr>
        <w:t>项目采购询价表</w:t>
      </w:r>
    </w:p>
    <w:p w14:paraId="74CC5E0C" w14:textId="77777777" w:rsidR="00A46DE7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项目编号：ZW-2026-028</w:t>
      </w:r>
    </w:p>
    <w:tbl>
      <w:tblPr>
        <w:tblStyle w:val="a7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5310"/>
        <w:gridCol w:w="1050"/>
        <w:gridCol w:w="915"/>
        <w:gridCol w:w="990"/>
        <w:gridCol w:w="1160"/>
        <w:gridCol w:w="1204"/>
      </w:tblGrid>
      <w:tr w:rsidR="00A46DE7" w14:paraId="1508773B" w14:textId="77777777">
        <w:trPr>
          <w:trHeight w:hRule="exact" w:val="612"/>
          <w:jc w:val="center"/>
        </w:trPr>
        <w:tc>
          <w:tcPr>
            <w:tcW w:w="2726" w:type="dxa"/>
            <w:vAlign w:val="center"/>
          </w:tcPr>
          <w:p w14:paraId="436F514D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310" w:type="dxa"/>
            <w:vAlign w:val="center"/>
          </w:tcPr>
          <w:p w14:paraId="513D3591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050" w:type="dxa"/>
            <w:vAlign w:val="center"/>
          </w:tcPr>
          <w:p w14:paraId="3102B712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申报单价</w:t>
            </w:r>
          </w:p>
        </w:tc>
        <w:tc>
          <w:tcPr>
            <w:tcW w:w="1160" w:type="dxa"/>
            <w:vAlign w:val="center"/>
          </w:tcPr>
          <w:p w14:paraId="1634E4E9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 w14:textId="77777777" w:rsidR="00A46DE7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46DE7" w14:paraId="3BC0F01F" w14:textId="77777777">
        <w:trPr>
          <w:trHeight w:hRule="exact" w:val="794"/>
          <w:jc w:val="center"/>
        </w:trPr>
        <w:tc>
          <w:tcPr>
            <w:tcW w:w="2726" w:type="dxa"/>
            <w:vAlign w:val="center"/>
          </w:tcPr>
          <w:p w14:paraId="0CA2D386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图书楼202房间地面维修</w:t>
            </w:r>
          </w:p>
        </w:tc>
        <w:tc>
          <w:tcPr>
            <w:tcW w:w="5310" w:type="dxa"/>
            <w:vAlign w:val="center"/>
          </w:tcPr>
          <w:p w14:paraId="00481AFC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破损地面砖拆除、垫层拆除，重新铺装相同颜色地面砖。尺寸：80cm*80cm，预留2mm缝隙填充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美缝剂</w:t>
            </w:r>
            <w:proofErr w:type="gramEnd"/>
          </w:p>
        </w:tc>
        <w:tc>
          <w:tcPr>
            <w:tcW w:w="1050" w:type="dxa"/>
            <w:vAlign w:val="center"/>
          </w:tcPr>
          <w:p w14:paraId="20E8C3AB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915" w:type="dxa"/>
            <w:vAlign w:val="center"/>
          </w:tcPr>
          <w:p w14:paraId="5C25F993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0" w:type="dxa"/>
            <w:vAlign w:val="center"/>
          </w:tcPr>
          <w:p w14:paraId="17C49DF3" w14:textId="77777777" w:rsidR="00A46DE7" w:rsidRDefault="00A46DE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A46DE7" w14:paraId="062499E4" w14:textId="77777777">
        <w:trPr>
          <w:trHeight w:hRule="exact" w:val="794"/>
          <w:jc w:val="center"/>
        </w:trPr>
        <w:tc>
          <w:tcPr>
            <w:tcW w:w="2726" w:type="dxa"/>
            <w:vAlign w:val="center"/>
          </w:tcPr>
          <w:p w14:paraId="5FECB6C8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图书楼302房间地面维修</w:t>
            </w:r>
          </w:p>
        </w:tc>
        <w:tc>
          <w:tcPr>
            <w:tcW w:w="5310" w:type="dxa"/>
            <w:vAlign w:val="center"/>
          </w:tcPr>
          <w:p w14:paraId="2096E180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破损地面砖拆除、垫层拆除，重新铺装相同颜色地面砖。尺寸：80cm*80cm，预留2mm缝隙填充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美缝剂</w:t>
            </w:r>
            <w:proofErr w:type="gramEnd"/>
          </w:p>
        </w:tc>
        <w:tc>
          <w:tcPr>
            <w:tcW w:w="1050" w:type="dxa"/>
            <w:vAlign w:val="center"/>
          </w:tcPr>
          <w:p w14:paraId="16B8A583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915" w:type="dxa"/>
            <w:vAlign w:val="center"/>
          </w:tcPr>
          <w:p w14:paraId="73A3DA91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990" w:type="dxa"/>
            <w:vAlign w:val="center"/>
          </w:tcPr>
          <w:p w14:paraId="6F3440CF" w14:textId="77777777" w:rsidR="00A46DE7" w:rsidRDefault="00A46DE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EE91D79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AD59070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A46DE7" w14:paraId="57DBD364" w14:textId="77777777">
        <w:trPr>
          <w:trHeight w:hRule="exact" w:val="794"/>
          <w:jc w:val="center"/>
        </w:trPr>
        <w:tc>
          <w:tcPr>
            <w:tcW w:w="2726" w:type="dxa"/>
            <w:vAlign w:val="center"/>
          </w:tcPr>
          <w:p w14:paraId="1AF63324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实训楼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101房间</w:t>
            </w:r>
          </w:p>
        </w:tc>
        <w:tc>
          <w:tcPr>
            <w:tcW w:w="5310" w:type="dxa"/>
            <w:vAlign w:val="center"/>
          </w:tcPr>
          <w:p w14:paraId="6DBDFFBC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破损地面砖拆除、垫层拆除，重新铺装相同颜色地面砖。尺寸：80cm*80cm，预留2mm缝隙填充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美缝剂</w:t>
            </w:r>
            <w:proofErr w:type="gramEnd"/>
          </w:p>
        </w:tc>
        <w:tc>
          <w:tcPr>
            <w:tcW w:w="1050" w:type="dxa"/>
            <w:vAlign w:val="center"/>
          </w:tcPr>
          <w:p w14:paraId="089E0AF1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915" w:type="dxa"/>
            <w:vAlign w:val="center"/>
          </w:tcPr>
          <w:p w14:paraId="23A70571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vAlign w:val="center"/>
          </w:tcPr>
          <w:p w14:paraId="691924C3" w14:textId="77777777" w:rsidR="00A46DE7" w:rsidRDefault="00A46DE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6CD19EB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5D62A2A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A46DE7" w14:paraId="55645744" w14:textId="77777777">
        <w:trPr>
          <w:trHeight w:hRule="exact" w:val="794"/>
          <w:jc w:val="center"/>
        </w:trPr>
        <w:tc>
          <w:tcPr>
            <w:tcW w:w="2726" w:type="dxa"/>
            <w:vAlign w:val="center"/>
          </w:tcPr>
          <w:p w14:paraId="6646FBF5" w14:textId="77777777" w:rsidR="00A46DE7" w:rsidRDefault="00000000">
            <w:pPr>
              <w:widowControl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垃圾清理</w:t>
            </w:r>
          </w:p>
        </w:tc>
        <w:tc>
          <w:tcPr>
            <w:tcW w:w="5310" w:type="dxa"/>
            <w:vAlign w:val="center"/>
          </w:tcPr>
          <w:p w14:paraId="4B1E8533" w14:textId="77777777" w:rsidR="00A46DE7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施工过程中产生的建筑垃圾清理出校园</w:t>
            </w:r>
          </w:p>
        </w:tc>
        <w:tc>
          <w:tcPr>
            <w:tcW w:w="1050" w:type="dxa"/>
            <w:vAlign w:val="center"/>
          </w:tcPr>
          <w:p w14:paraId="7B271B3C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2D27CD33" w14:textId="77777777" w:rsidR="00A46DE7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007DCD3E" w14:textId="77777777" w:rsidR="00A46DE7" w:rsidRDefault="00A46DE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8320C9E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C8DF963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A46DE7" w14:paraId="71BFBB4C" w14:textId="77777777">
        <w:trPr>
          <w:trHeight w:hRule="exact" w:val="794"/>
          <w:jc w:val="center"/>
        </w:trPr>
        <w:tc>
          <w:tcPr>
            <w:tcW w:w="2726" w:type="dxa"/>
            <w:vAlign w:val="center"/>
          </w:tcPr>
          <w:p w14:paraId="13D1D751" w14:textId="77777777" w:rsidR="00A46DE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合计</w:t>
            </w:r>
          </w:p>
        </w:tc>
        <w:tc>
          <w:tcPr>
            <w:tcW w:w="9425" w:type="dxa"/>
            <w:gridSpan w:val="5"/>
            <w:vAlign w:val="center"/>
          </w:tcPr>
          <w:p w14:paraId="0AC66C20" w14:textId="77777777" w:rsidR="00A46DE7" w:rsidRDefault="00000000">
            <w:pPr>
              <w:spacing w:line="320" w:lineRule="exact"/>
              <w:ind w:firstLineChars="100" w:firstLine="24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A46DE7" w:rsidRDefault="00A46DE7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3DD42ECB" w14:textId="77777777" w:rsidR="00A46DE7" w:rsidRDefault="00A46DE7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A46DE7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A46DE7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A46DE7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A46DE7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3.预算控制价为27744.00元，超出控制价视为无效报价。</w:t>
      </w:r>
    </w:p>
    <w:p w14:paraId="6294EF70" w14:textId="77777777" w:rsidR="00A46DE7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77777777" w:rsidR="00A46DE7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5.工期：5个日历日。</w:t>
      </w:r>
    </w:p>
    <w:p w14:paraId="64BA7CD2" w14:textId="77777777" w:rsidR="00A46DE7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A46DE7" w:rsidRDefault="00A46DE7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A46DE7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A46DE7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A46DE7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2F1E" w14:textId="77777777" w:rsidR="00F53AF7" w:rsidRDefault="00F53AF7" w:rsidP="00977429">
      <w:r>
        <w:separator/>
      </w:r>
    </w:p>
  </w:endnote>
  <w:endnote w:type="continuationSeparator" w:id="0">
    <w:p w14:paraId="0D965417" w14:textId="77777777" w:rsidR="00F53AF7" w:rsidRDefault="00F53AF7" w:rsidP="0097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9784BE8D-C039-4F1B-94A0-DA84677ADD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9B6EF50-E161-4B01-AA36-39832755326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4F43" w14:textId="77777777" w:rsidR="00F53AF7" w:rsidRDefault="00F53AF7" w:rsidP="00977429">
      <w:r>
        <w:separator/>
      </w:r>
    </w:p>
  </w:footnote>
  <w:footnote w:type="continuationSeparator" w:id="0">
    <w:p w14:paraId="6C0848E7" w14:textId="77777777" w:rsidR="00F53AF7" w:rsidRDefault="00F53AF7" w:rsidP="0097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77429"/>
    <w:rsid w:val="00993330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46DE7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53AF7"/>
    <w:rsid w:val="00F6656F"/>
    <w:rsid w:val="00F81396"/>
    <w:rsid w:val="00F87064"/>
    <w:rsid w:val="00FA0377"/>
    <w:rsid w:val="00FB23F9"/>
    <w:rsid w:val="00FE2251"/>
    <w:rsid w:val="018E7FDA"/>
    <w:rsid w:val="02111B48"/>
    <w:rsid w:val="024F356A"/>
    <w:rsid w:val="02CC3C0E"/>
    <w:rsid w:val="038720C2"/>
    <w:rsid w:val="04862649"/>
    <w:rsid w:val="066B563A"/>
    <w:rsid w:val="07EF4229"/>
    <w:rsid w:val="0825634E"/>
    <w:rsid w:val="097D1872"/>
    <w:rsid w:val="0AC06D87"/>
    <w:rsid w:val="0E5B6625"/>
    <w:rsid w:val="0F135152"/>
    <w:rsid w:val="11020FDA"/>
    <w:rsid w:val="112C76FA"/>
    <w:rsid w:val="11E15093"/>
    <w:rsid w:val="125C0BBE"/>
    <w:rsid w:val="131E40C5"/>
    <w:rsid w:val="152A6D51"/>
    <w:rsid w:val="17EA27C8"/>
    <w:rsid w:val="188350F6"/>
    <w:rsid w:val="189D5A8C"/>
    <w:rsid w:val="1A833EBB"/>
    <w:rsid w:val="1BC6520A"/>
    <w:rsid w:val="1CC83070"/>
    <w:rsid w:val="1CDB1E2E"/>
    <w:rsid w:val="1E7371C5"/>
    <w:rsid w:val="21156B08"/>
    <w:rsid w:val="21DE339D"/>
    <w:rsid w:val="23621DAC"/>
    <w:rsid w:val="23BA3996"/>
    <w:rsid w:val="26571970"/>
    <w:rsid w:val="26EF7DFB"/>
    <w:rsid w:val="270601C7"/>
    <w:rsid w:val="279A7D67"/>
    <w:rsid w:val="279F35CF"/>
    <w:rsid w:val="27AD6260"/>
    <w:rsid w:val="29626662"/>
    <w:rsid w:val="2C311870"/>
    <w:rsid w:val="2DFD4BAB"/>
    <w:rsid w:val="2E9A4AF0"/>
    <w:rsid w:val="2FE71157"/>
    <w:rsid w:val="303845C1"/>
    <w:rsid w:val="33911F51"/>
    <w:rsid w:val="34675474"/>
    <w:rsid w:val="36B3674F"/>
    <w:rsid w:val="37E312B6"/>
    <w:rsid w:val="393D2C48"/>
    <w:rsid w:val="3CCA034E"/>
    <w:rsid w:val="40870271"/>
    <w:rsid w:val="418628EB"/>
    <w:rsid w:val="41C841E7"/>
    <w:rsid w:val="42C121F4"/>
    <w:rsid w:val="43F403A7"/>
    <w:rsid w:val="45D545ED"/>
    <w:rsid w:val="46DA21EB"/>
    <w:rsid w:val="485A1120"/>
    <w:rsid w:val="486E052D"/>
    <w:rsid w:val="4AC07235"/>
    <w:rsid w:val="4C9D5A7F"/>
    <w:rsid w:val="4DC25072"/>
    <w:rsid w:val="4FD214B6"/>
    <w:rsid w:val="50BB4726"/>
    <w:rsid w:val="51894824"/>
    <w:rsid w:val="53C2251F"/>
    <w:rsid w:val="54444A33"/>
    <w:rsid w:val="560768CE"/>
    <w:rsid w:val="563350DD"/>
    <w:rsid w:val="58696813"/>
    <w:rsid w:val="59F82547"/>
    <w:rsid w:val="5AE64A95"/>
    <w:rsid w:val="5B372BFB"/>
    <w:rsid w:val="5B3E042E"/>
    <w:rsid w:val="5CDC5E76"/>
    <w:rsid w:val="5F7A39FE"/>
    <w:rsid w:val="60687CFB"/>
    <w:rsid w:val="648031CD"/>
    <w:rsid w:val="67F26828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20618C8"/>
    <w:rsid w:val="73C848E1"/>
    <w:rsid w:val="73FB2F08"/>
    <w:rsid w:val="74177616"/>
    <w:rsid w:val="78BE4504"/>
    <w:rsid w:val="7D8F021D"/>
    <w:rsid w:val="7E6E023E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499D42F-DFBB-4B2E-AF4B-3DC992D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8</cp:revision>
  <dcterms:created xsi:type="dcterms:W3CDTF">2021-01-18T01:26:00Z</dcterms:created>
  <dcterms:modified xsi:type="dcterms:W3CDTF">2026-04-24T04:34:00Z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