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D5BC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43FC9B45">
      <w:pPr>
        <w:spacing w:line="560" w:lineRule="exact"/>
        <w:ind w:firstLine="601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2" w:name="_GoBack"/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山东信息职业技术学院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奎文、滨海两校区部分楼寓门洞采购挡风保温门帘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项目报价表</w:t>
      </w:r>
      <w:bookmarkEnd w:id="2"/>
    </w:p>
    <w:bookmarkEnd w:id="0"/>
    <w:bookmarkEnd w:id="1"/>
    <w:tbl>
      <w:tblPr>
        <w:tblStyle w:val="6"/>
        <w:tblW w:w="13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4971"/>
        <w:gridCol w:w="523"/>
        <w:gridCol w:w="813"/>
        <w:gridCol w:w="750"/>
        <w:gridCol w:w="695"/>
        <w:gridCol w:w="600"/>
        <w:gridCol w:w="3982"/>
      </w:tblGrid>
      <w:tr w14:paraId="3E73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exact"/>
          <w:jc w:val="center"/>
        </w:trPr>
        <w:tc>
          <w:tcPr>
            <w:tcW w:w="1520" w:type="dxa"/>
            <w:vAlign w:val="center"/>
          </w:tcPr>
          <w:p w14:paraId="45A6A1AB">
            <w:pPr>
              <w:spacing w:line="5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4971" w:type="dxa"/>
            <w:vAlign w:val="center"/>
          </w:tcPr>
          <w:p w14:paraId="0AEB2071">
            <w:pPr>
              <w:spacing w:line="5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项目特征要求</w:t>
            </w:r>
          </w:p>
        </w:tc>
        <w:tc>
          <w:tcPr>
            <w:tcW w:w="523" w:type="dxa"/>
            <w:vAlign w:val="center"/>
          </w:tcPr>
          <w:p w14:paraId="08313CF2">
            <w:pPr>
              <w:spacing w:line="5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13" w:type="dxa"/>
            <w:vAlign w:val="center"/>
          </w:tcPr>
          <w:p w14:paraId="4BC0EE7A">
            <w:pPr>
              <w:spacing w:line="5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50" w:type="dxa"/>
          </w:tcPr>
          <w:p w14:paraId="2C4747FE">
            <w:pPr>
              <w:spacing w:line="5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除税 单价</w:t>
            </w:r>
          </w:p>
        </w:tc>
        <w:tc>
          <w:tcPr>
            <w:tcW w:w="695" w:type="dxa"/>
          </w:tcPr>
          <w:p w14:paraId="6C03B0C8">
            <w:pPr>
              <w:spacing w:line="5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含税总价（元）</w:t>
            </w:r>
          </w:p>
        </w:tc>
        <w:tc>
          <w:tcPr>
            <w:tcW w:w="600" w:type="dxa"/>
          </w:tcPr>
          <w:p w14:paraId="5DDEA7D6">
            <w:pPr>
              <w:spacing w:line="5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税率</w:t>
            </w:r>
          </w:p>
        </w:tc>
        <w:tc>
          <w:tcPr>
            <w:tcW w:w="3982" w:type="dxa"/>
            <w:vAlign w:val="center"/>
          </w:tcPr>
          <w:p w14:paraId="13C6C0CF">
            <w:pPr>
              <w:spacing w:line="5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EF0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exact"/>
          <w:jc w:val="center"/>
        </w:trPr>
        <w:tc>
          <w:tcPr>
            <w:tcW w:w="1520" w:type="dxa"/>
            <w:vAlign w:val="center"/>
          </w:tcPr>
          <w:p w14:paraId="1B49170B">
            <w:pPr>
              <w:tabs>
                <w:tab w:val="left" w:pos="10081"/>
              </w:tabs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PVC挡风门帘</w:t>
            </w:r>
          </w:p>
        </w:tc>
        <w:tc>
          <w:tcPr>
            <w:tcW w:w="4971" w:type="dxa"/>
            <w:vAlign w:val="center"/>
          </w:tcPr>
          <w:p w14:paraId="75AFC68A">
            <w:pPr>
              <w:pStyle w:val="4"/>
              <w:widowControl/>
              <w:shd w:val="clear" w:color="auto" w:fill="FFFFFF"/>
              <w:spacing w:beforeAutospacing="0" w:afterAutospacing="0" w:line="420" w:lineRule="atLeast"/>
              <w:rPr>
                <w:rFonts w:hint="default" w:eastAsia="宋体"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Cs w:val="24"/>
              </w:rPr>
              <w:t>产品质量要求为合格品，规格厚度：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高度和宽度可任意搭配，透明软质pvc材质，厚度大于1.5</w:t>
            </w:r>
            <w:r>
              <w:rPr>
                <w:rFonts w:hint="eastAsia"/>
                <w:kern w:val="2"/>
                <w:szCs w:val="24"/>
              </w:rPr>
              <w:t>mm ，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铁挂件为镀锌铁皮，厚度大于1.0</w:t>
            </w:r>
            <w:r>
              <w:rPr>
                <w:rFonts w:hint="eastAsia"/>
                <w:kern w:val="2"/>
                <w:szCs w:val="24"/>
              </w:rPr>
              <w:t>mm</w:t>
            </w:r>
            <w:r>
              <w:rPr>
                <w:rFonts w:hint="eastAsia"/>
                <w:kern w:val="2"/>
                <w:szCs w:val="24"/>
                <w:lang w:eastAsia="zh-CN"/>
              </w:rPr>
              <w:t>；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下配重为灰色塑料夹片。</w:t>
            </w:r>
          </w:p>
          <w:p w14:paraId="24C3B520">
            <w:pPr>
              <w:tabs>
                <w:tab w:val="left" w:pos="10081"/>
              </w:tabs>
              <w:rPr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5B45C66">
            <w:pPr>
              <w:tabs>
                <w:tab w:val="left" w:pos="10081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平方米</w:t>
            </w:r>
          </w:p>
        </w:tc>
        <w:tc>
          <w:tcPr>
            <w:tcW w:w="813" w:type="dxa"/>
            <w:vAlign w:val="center"/>
          </w:tcPr>
          <w:p w14:paraId="0DB20231">
            <w:pPr>
              <w:tabs>
                <w:tab w:val="left" w:pos="10081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77.3</w:t>
            </w:r>
          </w:p>
        </w:tc>
        <w:tc>
          <w:tcPr>
            <w:tcW w:w="750" w:type="dxa"/>
          </w:tcPr>
          <w:p w14:paraId="00F3D3A6">
            <w:pPr>
              <w:tabs>
                <w:tab w:val="left" w:pos="10081"/>
              </w:tabs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5" w:type="dxa"/>
          </w:tcPr>
          <w:p w14:paraId="771E5610">
            <w:pPr>
              <w:tabs>
                <w:tab w:val="left" w:pos="10081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0" w:type="dxa"/>
          </w:tcPr>
          <w:p w14:paraId="2898B33D">
            <w:pPr>
              <w:tabs>
                <w:tab w:val="left" w:pos="10081"/>
              </w:tabs>
              <w:rPr>
                <w:szCs w:val="21"/>
              </w:rPr>
            </w:pPr>
          </w:p>
        </w:tc>
        <w:tc>
          <w:tcPr>
            <w:tcW w:w="3982" w:type="dxa"/>
            <w:vMerge w:val="restart"/>
            <w:vAlign w:val="center"/>
          </w:tcPr>
          <w:p w14:paraId="78A8A95E">
            <w:pPr>
              <w:tabs>
                <w:tab w:val="left" w:pos="10081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此报价包含运输、发票税金等费用。</w:t>
            </w:r>
          </w:p>
          <w:p w14:paraId="2248A784">
            <w:pPr>
              <w:tabs>
                <w:tab w:val="left" w:pos="10081"/>
              </w:tabs>
              <w:rPr>
                <w:szCs w:val="21"/>
              </w:rPr>
            </w:pPr>
          </w:p>
        </w:tc>
      </w:tr>
      <w:tr w14:paraId="2CBB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exact"/>
          <w:jc w:val="center"/>
        </w:trPr>
        <w:tc>
          <w:tcPr>
            <w:tcW w:w="1520" w:type="dxa"/>
            <w:vAlign w:val="center"/>
          </w:tcPr>
          <w:p w14:paraId="52029F30">
            <w:pPr>
              <w:tabs>
                <w:tab w:val="left" w:pos="100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61EEAC1">
            <w:pPr>
              <w:tabs>
                <w:tab w:val="left" w:pos="10081"/>
              </w:tabs>
              <w:rPr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4F4C5F2">
            <w:pPr>
              <w:tabs>
                <w:tab w:val="left" w:pos="100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6F6F43E">
            <w:pPr>
              <w:tabs>
                <w:tab w:val="left" w:pos="100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3AE2969B">
            <w:pPr>
              <w:tabs>
                <w:tab w:val="left" w:pos="10081"/>
              </w:tabs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5" w:type="dxa"/>
          </w:tcPr>
          <w:p w14:paraId="666A9F49">
            <w:pPr>
              <w:tabs>
                <w:tab w:val="left" w:pos="10081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0" w:type="dxa"/>
          </w:tcPr>
          <w:p w14:paraId="292B2642">
            <w:pPr>
              <w:tabs>
                <w:tab w:val="left" w:pos="10081"/>
              </w:tabs>
              <w:rPr>
                <w:szCs w:val="21"/>
              </w:rPr>
            </w:pPr>
          </w:p>
        </w:tc>
        <w:tc>
          <w:tcPr>
            <w:tcW w:w="3982" w:type="dxa"/>
            <w:vMerge w:val="continue"/>
            <w:vAlign w:val="center"/>
          </w:tcPr>
          <w:p w14:paraId="69AC6937">
            <w:pPr>
              <w:tabs>
                <w:tab w:val="left" w:pos="10081"/>
              </w:tabs>
              <w:rPr>
                <w:szCs w:val="21"/>
              </w:rPr>
            </w:pPr>
          </w:p>
        </w:tc>
      </w:tr>
      <w:tr w14:paraId="4A3F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  <w:jc w:val="center"/>
        </w:trPr>
        <w:tc>
          <w:tcPr>
            <w:tcW w:w="1520" w:type="dxa"/>
            <w:vAlign w:val="center"/>
          </w:tcPr>
          <w:p w14:paraId="1A3FCA3F">
            <w:pPr>
              <w:tabs>
                <w:tab w:val="left" w:pos="100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B7B0A7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0D5DE678">
            <w:pPr>
              <w:tabs>
                <w:tab w:val="left" w:pos="100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3100826">
            <w:pPr>
              <w:tabs>
                <w:tab w:val="left" w:pos="100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54A0D006">
            <w:pPr>
              <w:tabs>
                <w:tab w:val="left" w:pos="10081"/>
              </w:tabs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5" w:type="dxa"/>
          </w:tcPr>
          <w:p w14:paraId="1421AB8C">
            <w:pPr>
              <w:tabs>
                <w:tab w:val="left" w:pos="10081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0" w:type="dxa"/>
          </w:tcPr>
          <w:p w14:paraId="672F7A25">
            <w:pPr>
              <w:tabs>
                <w:tab w:val="left" w:pos="10081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82" w:type="dxa"/>
            <w:vMerge w:val="continue"/>
            <w:vAlign w:val="center"/>
          </w:tcPr>
          <w:p w14:paraId="357FD332">
            <w:pPr>
              <w:spacing w:line="5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563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  <w:jc w:val="center"/>
        </w:trPr>
        <w:tc>
          <w:tcPr>
            <w:tcW w:w="1520" w:type="dxa"/>
            <w:vAlign w:val="center"/>
          </w:tcPr>
          <w:p w14:paraId="27982CB2">
            <w:pPr>
              <w:tabs>
                <w:tab w:val="left" w:pos="100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230C1DC">
            <w:pPr>
              <w:tabs>
                <w:tab w:val="left" w:pos="100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4A9A25A">
            <w:pPr>
              <w:tabs>
                <w:tab w:val="left" w:pos="100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930AEE1">
            <w:pPr>
              <w:tabs>
                <w:tab w:val="left" w:pos="100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3C16836B">
            <w:pPr>
              <w:tabs>
                <w:tab w:val="left" w:pos="10081"/>
              </w:tabs>
              <w:ind w:firstLine="240" w:firstLineChars="1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5" w:type="dxa"/>
          </w:tcPr>
          <w:p w14:paraId="5DF2C949">
            <w:pPr>
              <w:tabs>
                <w:tab w:val="left" w:pos="10081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0" w:type="dxa"/>
          </w:tcPr>
          <w:p w14:paraId="77102CAD">
            <w:pPr>
              <w:tabs>
                <w:tab w:val="left" w:pos="10081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82" w:type="dxa"/>
            <w:vMerge w:val="continue"/>
            <w:vAlign w:val="center"/>
          </w:tcPr>
          <w:p w14:paraId="3D5FEE93">
            <w:pPr>
              <w:spacing w:line="5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FA8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520" w:type="dxa"/>
            <w:vAlign w:val="center"/>
          </w:tcPr>
          <w:p w14:paraId="6257891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4971" w:type="dxa"/>
            <w:vAlign w:val="center"/>
          </w:tcPr>
          <w:p w14:paraId="4D74F2A7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363" w:type="dxa"/>
            <w:gridSpan w:val="6"/>
            <w:vAlign w:val="center"/>
          </w:tcPr>
          <w:p w14:paraId="7522035D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65569B27">
      <w:pPr>
        <w:spacing w:line="320" w:lineRule="exact"/>
        <w:rPr>
          <w:rFonts w:ascii="仿宋_GB2312" w:hAnsi="宋体" w:eastAsia="仿宋_GB2312" w:cs="宋体"/>
          <w:sz w:val="30"/>
          <w:szCs w:val="30"/>
        </w:rPr>
      </w:pPr>
    </w:p>
    <w:p w14:paraId="7631F7FD">
      <w:pPr>
        <w:spacing w:line="32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E3D6495">
      <w:pPr>
        <w:spacing w:line="32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600CAC7">
      <w:pPr>
        <w:spacing w:line="32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说明：</w:t>
      </w:r>
    </w:p>
    <w:p w14:paraId="5D3341C6">
      <w:pPr>
        <w:spacing w:line="560" w:lineRule="exact"/>
        <w:ind w:firstLine="601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1.报价统一为开具发票包括货物运输在内的价格。</w:t>
      </w:r>
    </w:p>
    <w:p w14:paraId="6D1C84F0">
      <w:pPr>
        <w:spacing w:line="560" w:lineRule="exact"/>
        <w:ind w:firstLine="601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2.质量保证：如有运输损伤、质量低劣等而造成损失的情况，概由乙方负责。</w:t>
      </w:r>
    </w:p>
    <w:p w14:paraId="4937A540">
      <w:pPr>
        <w:pStyle w:val="4"/>
        <w:widowControl/>
        <w:shd w:val="clear" w:color="auto" w:fill="FFFFFF"/>
        <w:spacing w:beforeAutospacing="0" w:afterAutospacing="0" w:line="420" w:lineRule="atLeast"/>
        <w:ind w:firstLine="540"/>
        <w:rPr>
          <w:rFonts w:ascii="微软雅黑" w:hAnsi="微软雅黑" w:eastAsia="微软雅黑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3.报价单请盖章密封后请于2024年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日1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：00之前将投标文件（产品检测报告、供货计划）、等材料送至山东信息职业技术学院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奎文校区</w:t>
      </w:r>
      <w:r>
        <w:rPr>
          <w:rFonts w:hint="eastAsia" w:ascii="仿宋_GB2312" w:hAnsi="仿宋_GB2312" w:eastAsia="仿宋_GB2312" w:cs="仿宋_GB2312"/>
          <w:sz w:val="30"/>
          <w:szCs w:val="30"/>
        </w:rPr>
        <w:t>北门西侧值班室投标资料箱。</w:t>
      </w:r>
    </w:p>
    <w:p w14:paraId="7B6A5485">
      <w:pPr>
        <w:pStyle w:val="4"/>
        <w:widowControl/>
        <w:shd w:val="clear" w:color="auto" w:fill="FFFFFF"/>
        <w:spacing w:line="420" w:lineRule="atLeast"/>
        <w:ind w:firstLine="540"/>
        <w:rPr>
          <w:rFonts w:ascii="微软雅黑" w:hAnsi="微软雅黑" w:eastAsia="微软雅黑" w:cs="微软雅黑"/>
          <w:color w:val="161616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4.供应商中标后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日内完成所有产品的供货工作，货物运到现场验收合格无质量问题后10个工作日内付至总货款的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%。</w:t>
      </w:r>
    </w:p>
    <w:p w14:paraId="65225087">
      <w:pPr>
        <w:pStyle w:val="4"/>
        <w:widowControl/>
        <w:shd w:val="clear" w:color="auto" w:fill="FFFFFF"/>
        <w:spacing w:line="420" w:lineRule="atLeast"/>
        <w:ind w:firstLine="54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5.供货产品除满足招标文件内产品技术参数质量要求外，报价供应商需提供样品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块。</w:t>
      </w:r>
    </w:p>
    <w:p w14:paraId="4B6E19BB">
      <w:pPr>
        <w:spacing w:line="480" w:lineRule="exact"/>
        <w:ind w:firstLine="601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6.报名截止时间：2024年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：00之前。</w:t>
      </w:r>
    </w:p>
    <w:p w14:paraId="2633CB92">
      <w:pPr>
        <w:spacing w:line="560" w:lineRule="exact"/>
        <w:ind w:firstLine="601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     </w:t>
      </w:r>
    </w:p>
    <w:p w14:paraId="0E811689">
      <w:pPr>
        <w:spacing w:line="560" w:lineRule="exact"/>
        <w:ind w:right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公司名称（盖章）：</w:t>
      </w:r>
    </w:p>
    <w:p w14:paraId="53D74CEB">
      <w:pPr>
        <w:spacing w:line="560" w:lineRule="exact"/>
        <w:ind w:right="600"/>
        <w:rPr>
          <w:rFonts w:ascii="仿宋_GB2312" w:hAnsi="仿宋_GB2312" w:eastAsia="仿宋_GB2312" w:cs="仿宋_GB2312"/>
          <w:sz w:val="30"/>
          <w:szCs w:val="30"/>
        </w:rPr>
      </w:pPr>
    </w:p>
    <w:p w14:paraId="0A9E9AEB">
      <w:pPr>
        <w:spacing w:line="320" w:lineRule="exact"/>
        <w:ind w:right="600"/>
        <w:rPr>
          <w:rFonts w:ascii="仿宋_GB2312" w:hAnsi="仿宋_GB2312" w:eastAsia="仿宋_GB2312" w:cs="仿宋_GB2312"/>
          <w:sz w:val="30"/>
          <w:szCs w:val="30"/>
        </w:rPr>
      </w:pPr>
    </w:p>
    <w:p w14:paraId="07AB0A2D">
      <w:pPr>
        <w:pStyle w:val="9"/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                     联系电话：                        日期：         年   月   日</w:t>
      </w:r>
    </w:p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ADDABD7-E899-4401-8D8F-B7E29FB1CF2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CD06E012-61C6-4F28-8C9F-721EC442E3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37FC60-960F-48D1-B4FC-DC48119B9ED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8231C4B-3210-4C63-B603-63F6FADF7F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NDEwYzk0N2VmODM2OTZiMGYyZjdhZGZhNTY2N2QifQ=="/>
  </w:docVars>
  <w:rsids>
    <w:rsidRoot w:val="00E90B81"/>
    <w:rsid w:val="00000774"/>
    <w:rsid w:val="00002958"/>
    <w:rsid w:val="00013E61"/>
    <w:rsid w:val="00016155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1F5BFD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11E66"/>
    <w:rsid w:val="00361ED1"/>
    <w:rsid w:val="003907F1"/>
    <w:rsid w:val="00395FF2"/>
    <w:rsid w:val="003967CB"/>
    <w:rsid w:val="003A6BDF"/>
    <w:rsid w:val="003B5EF3"/>
    <w:rsid w:val="003B6239"/>
    <w:rsid w:val="003B6256"/>
    <w:rsid w:val="003B732F"/>
    <w:rsid w:val="00404103"/>
    <w:rsid w:val="00431DF8"/>
    <w:rsid w:val="00437771"/>
    <w:rsid w:val="00437824"/>
    <w:rsid w:val="00442F1C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749"/>
    <w:rsid w:val="0058531B"/>
    <w:rsid w:val="005C5CC3"/>
    <w:rsid w:val="005D4945"/>
    <w:rsid w:val="005E7998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2B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368D7"/>
    <w:rsid w:val="008A08BF"/>
    <w:rsid w:val="008E706F"/>
    <w:rsid w:val="008F74AE"/>
    <w:rsid w:val="009012EA"/>
    <w:rsid w:val="0095379D"/>
    <w:rsid w:val="009A06B1"/>
    <w:rsid w:val="009A1AD9"/>
    <w:rsid w:val="009B413E"/>
    <w:rsid w:val="009C59CA"/>
    <w:rsid w:val="009E3C51"/>
    <w:rsid w:val="009F12E1"/>
    <w:rsid w:val="00A05C4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759FC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4C34128"/>
    <w:rsid w:val="059E5842"/>
    <w:rsid w:val="065840C8"/>
    <w:rsid w:val="066B563A"/>
    <w:rsid w:val="0995447D"/>
    <w:rsid w:val="0A0855DF"/>
    <w:rsid w:val="0DF4428F"/>
    <w:rsid w:val="0F362BEE"/>
    <w:rsid w:val="0FBC465D"/>
    <w:rsid w:val="16135767"/>
    <w:rsid w:val="189C0F05"/>
    <w:rsid w:val="18A64941"/>
    <w:rsid w:val="18C4126B"/>
    <w:rsid w:val="18F16E67"/>
    <w:rsid w:val="1A3359EB"/>
    <w:rsid w:val="1B907466"/>
    <w:rsid w:val="1BC6520A"/>
    <w:rsid w:val="1BF46B8F"/>
    <w:rsid w:val="1C5D6EB1"/>
    <w:rsid w:val="1EEB1CFA"/>
    <w:rsid w:val="21B324F4"/>
    <w:rsid w:val="21FA7122"/>
    <w:rsid w:val="270601C7"/>
    <w:rsid w:val="29315EE5"/>
    <w:rsid w:val="2BF437BD"/>
    <w:rsid w:val="2C9B1A09"/>
    <w:rsid w:val="2CF8709A"/>
    <w:rsid w:val="33476C43"/>
    <w:rsid w:val="399B28FF"/>
    <w:rsid w:val="3B765F9D"/>
    <w:rsid w:val="3D644C0E"/>
    <w:rsid w:val="40870271"/>
    <w:rsid w:val="458B5FF6"/>
    <w:rsid w:val="4E380E3F"/>
    <w:rsid w:val="4F4746E9"/>
    <w:rsid w:val="4FE70710"/>
    <w:rsid w:val="504319C3"/>
    <w:rsid w:val="55F54752"/>
    <w:rsid w:val="563350DD"/>
    <w:rsid w:val="58C63C69"/>
    <w:rsid w:val="59535D0B"/>
    <w:rsid w:val="59EA1015"/>
    <w:rsid w:val="5A6000EC"/>
    <w:rsid w:val="5A851901"/>
    <w:rsid w:val="5B8F2323"/>
    <w:rsid w:val="5CB009E6"/>
    <w:rsid w:val="5DF9117C"/>
    <w:rsid w:val="60AD275C"/>
    <w:rsid w:val="60C95CD3"/>
    <w:rsid w:val="61A23647"/>
    <w:rsid w:val="648031CD"/>
    <w:rsid w:val="671766FF"/>
    <w:rsid w:val="675F3C06"/>
    <w:rsid w:val="67C6666A"/>
    <w:rsid w:val="681E77D5"/>
    <w:rsid w:val="68A97BEE"/>
    <w:rsid w:val="6A815C41"/>
    <w:rsid w:val="6C733CAF"/>
    <w:rsid w:val="706B3947"/>
    <w:rsid w:val="72AD7F35"/>
    <w:rsid w:val="752134EB"/>
    <w:rsid w:val="769A13A5"/>
    <w:rsid w:val="774D3FF7"/>
    <w:rsid w:val="78922F0F"/>
    <w:rsid w:val="7A903C7E"/>
    <w:rsid w:val="7BD36518"/>
    <w:rsid w:val="7BF06921"/>
    <w:rsid w:val="7CA103C5"/>
    <w:rsid w:val="7F5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444</Words>
  <Characters>483</Characters>
  <Lines>4</Lines>
  <Paragraphs>1</Paragraphs>
  <TotalTime>1</TotalTime>
  <ScaleCrop>false</ScaleCrop>
  <LinksUpToDate>false</LinksUpToDate>
  <CharactersWithSpaces>551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2024-09-26T11:27:00Z</dcterms:created>
  <dc:creator>微软用户</dc:creator>
  <cp:lastModifiedBy>VIP</cp:lastModifiedBy>
  <cp:lastPrinted>2024-05-16T00:05:00Z</cp:lastPrinted>
  <dcterms:modified xsi:type="dcterms:W3CDTF">2024-12-26T09:17:59Z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E9B48A9B83334C0EA22978B678C2D8E0_13</vt:lpwstr>
  </property>
  <property fmtid="{D5CDD505-2E9C-101B-9397-08002B2CF9AE}" pid="4" name="commondata">
    <vt:lpwstr>eyJoZGlkIjoiZGI0OTdlODdlNmZjMGYxMzFiNmJmOWU2YTJjOTBjM2UifQ==</vt:lpwstr>
  </property>
</Properties>
</file>